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71" w:rsidRPr="003E6AD1" w:rsidRDefault="00D53A71" w:rsidP="00D53A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6AD1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ВПР в 11 классах</w:t>
      </w:r>
    </w:p>
    <w:p w:rsidR="00304B4D" w:rsidRPr="003E6AD1" w:rsidRDefault="00304B4D" w:rsidP="00A05C88">
      <w:pPr>
        <w:ind w:right="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всероссийской проверочной работы  по физике  определя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компонента государственного образовательного стандарта (ФК ГОС) среднего (полного) общего образования по физике,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 </w:t>
      </w:r>
    </w:p>
    <w:p w:rsidR="00304B4D" w:rsidRPr="003E6AD1" w:rsidRDefault="00304B4D" w:rsidP="00A05C88">
      <w:pPr>
        <w:ind w:left="-12" w:right="16" w:firstLine="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работы предлага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девять заданий, которые проверя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основных понятий, явлений, величин и законов, изученных  в курсе физики. 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Проверялись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умения: группировать изученные понятия, находить определения физических величин или понятий, анализировать изменение физических величин в различных процессах, работать с физическими моделями, использовать физические законы для объяснения явлений и процессов, интерпретировать графики зависимости физических величин, характеризующие процесс, и применять законы  и формулы для расчёта величин.  </w:t>
      </w:r>
    </w:p>
    <w:p w:rsidR="00304B4D" w:rsidRPr="003E6AD1" w:rsidRDefault="00304B4D" w:rsidP="00A05C88">
      <w:pPr>
        <w:spacing w:after="3" w:line="249" w:lineRule="auto"/>
        <w:ind w:left="-12" w:right="16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группа из трёх заданий проверя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</w:t>
      </w:r>
      <w:r w:rsidR="001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методологических умений. Первое задание оценива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снимать показания физического прибора с учётом заданной погрешности измерений или определять значения искомой величины по экспериментальному графику или таблице данных значения искомой величины. Второе задание проверя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выделять цель проведения опыта по его описанию или делать вывод на основании данных опыта. В третьем задании из данной группы предлага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заданной гипотезе самостоятельно спланировать несложное исследование и описать его проведение.  </w:t>
      </w:r>
    </w:p>
    <w:p w:rsidR="00304B4D" w:rsidRPr="003E6AD1" w:rsidRDefault="00304B4D" w:rsidP="00A05C88">
      <w:pPr>
        <w:spacing w:after="3" w:line="249" w:lineRule="auto"/>
        <w:ind w:left="-12" w:right="16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предлага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из трёх заданий, проверяющих умение применять полученные знания для описания устройства и объяснения принципов действия различных технических объектов или узнавать проявление явлений в окружающей жизни. Первое задания предлага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выпускникам либо определить физическое явление, лежащее в основе принципа действия указанного прибора (или технического объекта), либо определить, какое физическое явление лежит в основе процессов, встречающихся в окружающей жизни.  Далее 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</w:t>
      </w:r>
      <w:r w:rsidR="001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1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заданиях</w:t>
      </w:r>
      <w:r w:rsidR="00B6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</w:t>
      </w:r>
      <w:r w:rsid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какого-либо устройства или выдержка из инструкции по использованию устройства.</w:t>
      </w:r>
      <w:r w:rsidR="0012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B4D" w:rsidRPr="003E6AD1" w:rsidRDefault="00304B4D" w:rsidP="00304B4D">
      <w:pPr>
        <w:spacing w:after="3" w:line="249" w:lineRule="auto"/>
        <w:ind w:left="-12" w:right="16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4D" w:rsidRPr="003E6AD1" w:rsidRDefault="00304B4D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86" w:type="dxa"/>
        <w:tblInd w:w="-106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891"/>
        <w:gridCol w:w="1429"/>
        <w:gridCol w:w="1885"/>
        <w:gridCol w:w="4381"/>
      </w:tblGrid>
      <w:tr w:rsidR="00304B4D" w:rsidRPr="003E6AD1" w:rsidTr="001F1AB1">
        <w:trPr>
          <w:trHeight w:val="1304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B4D" w:rsidRPr="003E6AD1" w:rsidRDefault="00304B4D" w:rsidP="00304B4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сложности заданий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B4D" w:rsidRPr="003E6AD1" w:rsidRDefault="00304B4D" w:rsidP="00304B4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заданий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B4D" w:rsidRPr="003E6AD1" w:rsidRDefault="00304B4D" w:rsidP="00304B4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4" w:right="120" w:firstLine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Процент максимального балла  за задания данного уровня сложности от максимального первичного балла за всю работу, равного 26 </w:t>
            </w:r>
          </w:p>
        </w:tc>
      </w:tr>
      <w:tr w:rsidR="00304B4D" w:rsidRPr="003E6AD1" w:rsidTr="001F1AB1">
        <w:trPr>
          <w:trHeight w:val="33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</w:tr>
      <w:tr w:rsidR="00304B4D" w:rsidRPr="003E6AD1" w:rsidTr="001F1AB1">
        <w:trPr>
          <w:trHeight w:val="33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</w:tr>
      <w:tr w:rsidR="00304B4D" w:rsidRPr="003E6AD1" w:rsidTr="001F1AB1">
        <w:trPr>
          <w:trHeight w:val="33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304B4D" w:rsidRDefault="00304B4D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B1F" w:rsidRDefault="00FD2B1F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B1F" w:rsidRPr="003E6AD1" w:rsidRDefault="00FD2B1F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396" w:type="dxa"/>
        <w:tblInd w:w="-37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5"/>
        <w:gridCol w:w="1276"/>
        <w:gridCol w:w="1558"/>
        <w:gridCol w:w="1420"/>
        <w:gridCol w:w="1417"/>
      </w:tblGrid>
      <w:tr w:rsidR="00304B4D" w:rsidRPr="003E6AD1" w:rsidTr="001F1AB1">
        <w:trPr>
          <w:trHeight w:val="659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210" w:right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Отметка  по пятибалльной шкале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«5» </w:t>
            </w:r>
          </w:p>
        </w:tc>
      </w:tr>
      <w:tr w:rsidR="00304B4D" w:rsidRPr="003E6AD1" w:rsidTr="001F1AB1">
        <w:trPr>
          <w:trHeight w:val="337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Суммарный балл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0–8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9–15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16-20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21–26 </w:t>
            </w:r>
          </w:p>
        </w:tc>
      </w:tr>
    </w:tbl>
    <w:p w:rsidR="00304B4D" w:rsidRPr="003E6AD1" w:rsidRDefault="00304B4D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4D" w:rsidRPr="003E6AD1" w:rsidRDefault="00304B4D" w:rsidP="00304B4D">
      <w:pPr>
        <w:spacing w:after="3" w:line="249" w:lineRule="auto"/>
        <w:ind w:left="-12" w:right="16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сложности задания: Б – базовый (примерный уровень выполнения – 60–90%); П – повышенный (40–60%). </w:t>
      </w:r>
    </w:p>
    <w:p w:rsidR="00304B4D" w:rsidRPr="003E6AD1" w:rsidRDefault="00304B4D" w:rsidP="00304B4D">
      <w:pPr>
        <w:spacing w:after="0" w:line="259" w:lineRule="auto"/>
        <w:ind w:left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B4D" w:rsidRPr="003E6AD1" w:rsidRDefault="00304B4D" w:rsidP="00304B4D">
      <w:pPr>
        <w:spacing w:after="0" w:line="259" w:lineRule="auto"/>
        <w:ind w:left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РСО-Алания:</w:t>
      </w:r>
    </w:p>
    <w:tbl>
      <w:tblPr>
        <w:tblStyle w:val="TableGrid2"/>
        <w:tblW w:w="9369" w:type="dxa"/>
        <w:tblInd w:w="-106" w:type="dxa"/>
        <w:tblLayout w:type="fixed"/>
        <w:tblCellMar>
          <w:top w:w="51" w:type="dxa"/>
          <w:left w:w="50" w:type="dxa"/>
        </w:tblCellMar>
        <w:tblLook w:val="04A0" w:firstRow="1" w:lastRow="0" w:firstColumn="1" w:lastColumn="0" w:noHBand="0" w:noVBand="1"/>
      </w:tblPr>
      <w:tblGrid>
        <w:gridCol w:w="746"/>
        <w:gridCol w:w="3130"/>
        <w:gridCol w:w="1021"/>
        <w:gridCol w:w="504"/>
        <w:gridCol w:w="284"/>
        <w:gridCol w:w="708"/>
        <w:gridCol w:w="1559"/>
        <w:gridCol w:w="1417"/>
      </w:tblGrid>
      <w:tr w:rsidR="00304B4D" w:rsidRPr="003E6AD1" w:rsidTr="00A05C88">
        <w:trPr>
          <w:trHeight w:val="18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04B4D" w:rsidRPr="003E6AD1" w:rsidRDefault="00304B4D" w:rsidP="00304B4D">
            <w:pPr>
              <w:spacing w:line="259" w:lineRule="auto"/>
              <w:ind w:lef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за-</w:t>
            </w:r>
          </w:p>
          <w:p w:rsidR="00304B4D" w:rsidRPr="003E6AD1" w:rsidRDefault="00304B4D" w:rsidP="00304B4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Проверяемые умения / элементы содержания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</w:p>
          <w:p w:rsidR="00304B4D" w:rsidRPr="003E6AD1" w:rsidRDefault="00304B4D" w:rsidP="00304B4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 </w:t>
            </w:r>
          </w:p>
          <w:p w:rsidR="00304B4D" w:rsidRPr="003E6AD1" w:rsidRDefault="00304B4D" w:rsidP="00304B4D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8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сложности задания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39" w:lineRule="auto"/>
              <w:ind w:left="3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Макс. </w:t>
            </w:r>
          </w:p>
          <w:p w:rsidR="00304B4D" w:rsidRPr="003E6AD1" w:rsidRDefault="00304B4D" w:rsidP="00304B4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за выполнение задания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39" w:lineRule="auto"/>
              <w:ind w:left="3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3E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уровень</w:t>
            </w:r>
            <w:r w:rsidRPr="003E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3E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заданий, %</w:t>
            </w:r>
          </w:p>
        </w:tc>
      </w:tr>
      <w:tr w:rsidR="00304B4D" w:rsidRPr="003E6AD1" w:rsidTr="00A05C88">
        <w:trPr>
          <w:trHeight w:val="6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1–9. Понимание смысла понятий, величин, законов.  </w:t>
            </w:r>
          </w:p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Объяснение явлений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04B4D" w:rsidRPr="003E6AD1" w:rsidTr="00A77452">
        <w:trPr>
          <w:trHeight w:val="12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понятий (физические явления, физические величины, единицы измерения величин, измерительные  приборы)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1.1, 1.2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72,03</w:t>
            </w:r>
          </w:p>
        </w:tc>
      </w:tr>
      <w:tr w:rsidR="00304B4D" w:rsidRPr="003E6AD1" w:rsidTr="00A77452">
        <w:trPr>
          <w:trHeight w:val="3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 и величин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1.1–1.3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82,53</w:t>
            </w:r>
          </w:p>
        </w:tc>
      </w:tr>
      <w:tr w:rsidR="00304B4D" w:rsidRPr="003E6AD1" w:rsidTr="00A77452">
        <w:trPr>
          <w:trHeight w:val="12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физических явлений, описание их свойств, применение законов  для объяснения явлений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1.2, 1.3, </w:t>
            </w:r>
          </w:p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75,23</w:t>
            </w:r>
          </w:p>
        </w:tc>
      </w:tr>
      <w:tr w:rsidR="00304B4D" w:rsidRPr="003E6AD1" w:rsidTr="00A77452">
        <w:trPr>
          <w:trHeight w:val="12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физических явлений, описание их свойств, применение законов  для объяснения явлений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1.2, 1.3, </w:t>
            </w:r>
          </w:p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75,66</w:t>
            </w:r>
          </w:p>
        </w:tc>
      </w:tr>
      <w:tr w:rsidR="00304B4D" w:rsidRPr="003E6AD1" w:rsidTr="00A77452">
        <w:trPr>
          <w:trHeight w:val="129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физических явлений, описание их свойств, применение законов  для объяснения явлений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1.2, 1.3, </w:t>
            </w:r>
          </w:p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78,14</w:t>
            </w:r>
          </w:p>
        </w:tc>
      </w:tr>
      <w:tr w:rsidR="00304B4D" w:rsidRPr="003E6AD1" w:rsidTr="00A77452">
        <w:trPr>
          <w:trHeight w:val="129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физических явлений, описание их свойств, применение законов  для объяснения явлений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1.2, 1.3, </w:t>
            </w:r>
          </w:p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77,05</w:t>
            </w:r>
          </w:p>
        </w:tc>
      </w:tr>
      <w:tr w:rsidR="00304B4D" w:rsidRPr="003E6AD1" w:rsidTr="00A77452">
        <w:trPr>
          <w:trHeight w:val="6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изменения физических величин в процессах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74,88</w:t>
            </w:r>
          </w:p>
        </w:tc>
      </w:tr>
      <w:tr w:rsidR="00304B4D" w:rsidRPr="003E6AD1" w:rsidTr="00A77452">
        <w:trPr>
          <w:trHeight w:val="97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 физических процессов, представленных в виде графика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2–4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73,49</w:t>
            </w:r>
          </w:p>
        </w:tc>
      </w:tr>
      <w:tr w:rsidR="00304B4D" w:rsidRPr="003E6AD1" w:rsidTr="00A77452">
        <w:trPr>
          <w:trHeight w:val="6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формулы для расчета физической величины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2, 3, 4 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1.2, 1.3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39,59</w:t>
            </w:r>
          </w:p>
        </w:tc>
      </w:tr>
    </w:tbl>
    <w:p w:rsidR="00304B4D" w:rsidRPr="003E6AD1" w:rsidRDefault="00304B4D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370" w:type="dxa"/>
        <w:tblInd w:w="-106" w:type="dxa"/>
        <w:tblCellMar>
          <w:top w:w="69" w:type="dxa"/>
          <w:left w:w="50" w:type="dxa"/>
        </w:tblCellMar>
        <w:tblLook w:val="04A0" w:firstRow="1" w:lastRow="0" w:firstColumn="1" w:lastColumn="0" w:noHBand="0" w:noVBand="1"/>
      </w:tblPr>
      <w:tblGrid>
        <w:gridCol w:w="652"/>
        <w:gridCol w:w="4203"/>
        <w:gridCol w:w="727"/>
        <w:gridCol w:w="817"/>
        <w:gridCol w:w="666"/>
        <w:gridCol w:w="916"/>
        <w:gridCol w:w="1389"/>
      </w:tblGrid>
      <w:tr w:rsidR="00304B4D" w:rsidRPr="003E6AD1" w:rsidTr="00304B4D">
        <w:trPr>
          <w:trHeight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 11–13. Методы научного познания: наблюдения и опыты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</w:t>
            </w:r>
          </w:p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выполнения</w:t>
            </w:r>
          </w:p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заданий, %</w:t>
            </w:r>
          </w:p>
        </w:tc>
      </w:tr>
      <w:tr w:rsidR="00304B4D" w:rsidRPr="003E6AD1" w:rsidTr="00304B4D">
        <w:trPr>
          <w:trHeight w:val="16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показания приборов / схема включения электроизмерительных приборов; определение значения величины по экспериментальному графику/таблице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66,49</w:t>
            </w:r>
          </w:p>
        </w:tc>
      </w:tr>
      <w:tr w:rsidR="00304B4D" w:rsidRPr="003E6AD1" w:rsidTr="00304B4D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"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Формулировка цели опыта или выводы по результатам опыта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304B4D" w:rsidRPr="003E6AD1" w:rsidTr="00304B4D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исследования по заданной гипотезе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21,88</w:t>
            </w:r>
          </w:p>
        </w:tc>
      </w:tr>
      <w:tr w:rsidR="00304B4D" w:rsidRPr="003E6AD1" w:rsidTr="00304B4D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 14-15. Устройство и принцип действия технических  объектов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04B4D" w:rsidRPr="003E6AD1" w:rsidTr="00304B4D">
        <w:trPr>
          <w:trHeight w:val="194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физических явлений и процессов, лежащих в основе принципа действия технического устройства (прибора). Узнавание явлений в окружающем мире. Ученые и их открытия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2.2, 2.7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</w:tr>
      <w:tr w:rsidR="00304B4D" w:rsidRPr="003E6AD1" w:rsidTr="00304B4D">
        <w:trPr>
          <w:trHeight w:val="9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 физических явлений и процессов, используемых при работе технических устройств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304B4D" w:rsidRPr="003E6AD1" w:rsidTr="00304B4D">
        <w:trPr>
          <w:trHeight w:val="9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 физических явлений и процессов, используемых при работе технических устройств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2.2, 2.7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47,41</w:t>
            </w:r>
          </w:p>
        </w:tc>
      </w:tr>
      <w:tr w:rsidR="00304B4D" w:rsidRPr="003E6AD1" w:rsidTr="00304B4D">
        <w:trPr>
          <w:trHeight w:val="3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 16–18. Работа с текстом физического содержания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04B4D" w:rsidRPr="003E6AD1" w:rsidTr="00304B4D">
        <w:trPr>
          <w:trHeight w:val="12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информации, представленной в явном виде, сопоставление информации из разных частей текста, в таблицах или графиках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67,36</w:t>
            </w:r>
          </w:p>
        </w:tc>
      </w:tr>
      <w:tr w:rsidR="00304B4D" w:rsidRPr="003E6AD1" w:rsidTr="00304B4D">
        <w:trPr>
          <w:trHeight w:val="9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Формулировка выводов на основе текста, интерпретация текстовой информации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59,76</w:t>
            </w:r>
          </w:p>
        </w:tc>
      </w:tr>
      <w:tr w:rsidR="00304B4D" w:rsidRPr="003E6AD1" w:rsidTr="00304B4D">
        <w:trPr>
          <w:trHeight w:val="9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информации из текста и имеющихся знаний при решении задач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2–5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2.5, 2.7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A05C88" w:rsidP="00304B4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30,7</w:t>
            </w:r>
          </w:p>
        </w:tc>
      </w:tr>
      <w:tr w:rsidR="00304B4D" w:rsidRPr="003E6AD1" w:rsidTr="00304B4D">
        <w:trPr>
          <w:trHeight w:val="9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заданий – </w:t>
            </w: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из них по уровню сложности: Б – </w:t>
            </w: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 – </w:t>
            </w: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за работу – </w:t>
            </w: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баллов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04B4D" w:rsidRPr="003E6AD1" w:rsidRDefault="00304B4D" w:rsidP="00304B4D">
            <w:pPr>
              <w:spacing w:line="259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время выполнения работы – </w:t>
            </w:r>
            <w:r w:rsidRPr="003E6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мин</w:t>
            </w:r>
            <w:r w:rsidRPr="003E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D" w:rsidRPr="003E6AD1" w:rsidRDefault="00304B4D" w:rsidP="00304B4D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4B4D" w:rsidRPr="003E6AD1" w:rsidRDefault="00304B4D" w:rsidP="00304B4D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4D" w:rsidRPr="003E6AD1" w:rsidRDefault="00304B4D" w:rsidP="00A05C8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A71" w:rsidRPr="003E6AD1" w:rsidRDefault="00D53A71" w:rsidP="00D53A71">
      <w:pPr>
        <w:ind w:firstLine="708"/>
        <w:jc w:val="both"/>
        <w:rPr>
          <w:sz w:val="24"/>
          <w:szCs w:val="24"/>
        </w:rPr>
      </w:pPr>
      <w:r w:rsidRPr="003E6AD1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физике по РСО-Алания приняли участие </w:t>
      </w:r>
      <w:r w:rsidR="00A77452">
        <w:rPr>
          <w:rFonts w:ascii="Times New Roman" w:hAnsi="Times New Roman" w:cs="Times New Roman"/>
          <w:sz w:val="24"/>
          <w:szCs w:val="24"/>
        </w:rPr>
        <w:t>2301 обучающих</w:t>
      </w:r>
      <w:r w:rsidRPr="003E6AD1">
        <w:rPr>
          <w:rFonts w:ascii="Times New Roman" w:hAnsi="Times New Roman" w:cs="Times New Roman"/>
          <w:sz w:val="24"/>
          <w:szCs w:val="24"/>
        </w:rPr>
        <w:t xml:space="preserve">ся </w:t>
      </w:r>
      <w:r w:rsidR="00A77452">
        <w:rPr>
          <w:rFonts w:ascii="Times New Roman" w:hAnsi="Times New Roman" w:cs="Times New Roman"/>
          <w:sz w:val="24"/>
          <w:szCs w:val="24"/>
        </w:rPr>
        <w:t xml:space="preserve"> </w:t>
      </w:r>
      <w:r w:rsidRPr="003E6AD1">
        <w:rPr>
          <w:rFonts w:ascii="Times New Roman" w:hAnsi="Times New Roman" w:cs="Times New Roman"/>
          <w:sz w:val="24"/>
          <w:szCs w:val="24"/>
        </w:rPr>
        <w:t>11 классов из 153 образовательных организаций.</w:t>
      </w:r>
      <w:r w:rsidRPr="003E6AD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17"/>
        <w:tblW w:w="8875" w:type="dxa"/>
        <w:tblLook w:val="04A0" w:firstRow="1" w:lastRow="0" w:firstColumn="1" w:lastColumn="0" w:noHBand="0" w:noVBand="1"/>
      </w:tblPr>
      <w:tblGrid>
        <w:gridCol w:w="5495"/>
        <w:gridCol w:w="1480"/>
        <w:gridCol w:w="1900"/>
      </w:tblGrid>
      <w:tr w:rsidR="00D53A71" w:rsidRPr="003E6AD1" w:rsidTr="00A05C88">
        <w:trPr>
          <w:trHeight w:val="30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A71" w:rsidRPr="003E6AD1" w:rsidRDefault="00D53A71" w:rsidP="00D5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D53A71" w:rsidRPr="003E6AD1" w:rsidTr="00A05C88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A71" w:rsidRPr="003E6AD1" w:rsidRDefault="00D53A71" w:rsidP="00D5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53A71" w:rsidRPr="003E6AD1" w:rsidTr="00A05C88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A71" w:rsidRPr="003E6AD1" w:rsidRDefault="00D53A71" w:rsidP="00D5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53A71" w:rsidRPr="003E6AD1" w:rsidTr="00A05C88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A71" w:rsidRPr="003E6AD1" w:rsidRDefault="00D53A71" w:rsidP="00D5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A71" w:rsidRPr="003E6AD1" w:rsidRDefault="00D53A71" w:rsidP="00D5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53A71" w:rsidRPr="003E6AD1" w:rsidRDefault="00D53A71" w:rsidP="00A05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A71" w:rsidRPr="003E6AD1" w:rsidRDefault="00D53A71" w:rsidP="00D53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AD1">
        <w:rPr>
          <w:rFonts w:ascii="Times New Roman" w:hAnsi="Times New Roman" w:cs="Times New Roman"/>
          <w:sz w:val="24"/>
          <w:szCs w:val="24"/>
        </w:rPr>
        <w:t xml:space="preserve">Как показывает  анализ  выполнения заданий диагностической работы ВПР в </w:t>
      </w:r>
      <w:r w:rsidR="00A05C88" w:rsidRPr="003E6AD1">
        <w:rPr>
          <w:rFonts w:ascii="Times New Roman" w:hAnsi="Times New Roman" w:cs="Times New Roman"/>
          <w:sz w:val="24"/>
          <w:szCs w:val="24"/>
        </w:rPr>
        <w:t>11</w:t>
      </w:r>
      <w:r w:rsidRPr="003E6AD1">
        <w:rPr>
          <w:rFonts w:ascii="Times New Roman" w:hAnsi="Times New Roman" w:cs="Times New Roman"/>
          <w:sz w:val="24"/>
          <w:szCs w:val="24"/>
        </w:rPr>
        <w:t xml:space="preserve"> классах, наиболее сложными для изучения учащимися являются следующие вопросы:</w:t>
      </w:r>
    </w:p>
    <w:p w:rsidR="00A05C88" w:rsidRPr="003E6AD1" w:rsidRDefault="00A05C88" w:rsidP="00D53A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hAnsi="Times New Roman" w:cs="Times New Roman"/>
          <w:sz w:val="24"/>
          <w:szCs w:val="24"/>
        </w:rPr>
        <w:t>№9-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формулы для расчета физической величины  (39,59%)</w:t>
      </w:r>
    </w:p>
    <w:p w:rsidR="00A05C88" w:rsidRPr="003E6AD1" w:rsidRDefault="00A05C88" w:rsidP="00D53A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№12-</w:t>
      </w:r>
      <w:r w:rsidRPr="003E6AD1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исследования по заданной гипотезе  (21,88%)</w:t>
      </w:r>
    </w:p>
    <w:p w:rsidR="00A05C88" w:rsidRPr="003E6AD1" w:rsidRDefault="00A05C88" w:rsidP="00D53A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D1">
        <w:rPr>
          <w:rFonts w:ascii="Times New Roman" w:hAnsi="Times New Roman" w:cs="Times New Roman"/>
          <w:color w:val="000000"/>
          <w:sz w:val="24"/>
          <w:szCs w:val="24"/>
        </w:rPr>
        <w:t xml:space="preserve">№18- Применение информации из текста и имеющихся знаний </w:t>
      </w:r>
    </w:p>
    <w:p w:rsidR="003940CB" w:rsidRPr="003E6AD1" w:rsidRDefault="00A05C88" w:rsidP="00923C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D1">
        <w:rPr>
          <w:rFonts w:ascii="Times New Roman" w:hAnsi="Times New Roman" w:cs="Times New Roman"/>
          <w:color w:val="000000"/>
          <w:sz w:val="24"/>
          <w:szCs w:val="24"/>
        </w:rPr>
        <w:t xml:space="preserve">          при решении задач</w:t>
      </w:r>
      <w:r w:rsidR="003E6AD1">
        <w:rPr>
          <w:rFonts w:ascii="Times New Roman" w:hAnsi="Times New Roman" w:cs="Times New Roman"/>
          <w:color w:val="000000"/>
          <w:sz w:val="24"/>
          <w:szCs w:val="24"/>
        </w:rPr>
        <w:t xml:space="preserve"> (30,7%).</w:t>
      </w:r>
    </w:p>
    <w:p w:rsidR="003940CB" w:rsidRPr="003E6AD1" w:rsidRDefault="003940CB" w:rsidP="00D53A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D1">
        <w:rPr>
          <w:rFonts w:ascii="Times New Roman" w:hAnsi="Times New Roman" w:cs="Times New Roman"/>
          <w:color w:val="000000"/>
          <w:sz w:val="24"/>
          <w:szCs w:val="24"/>
        </w:rPr>
        <w:t>По районам процент выполнения этих заданий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865"/>
        <w:gridCol w:w="1865"/>
        <w:gridCol w:w="1865"/>
      </w:tblGrid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Алагирский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Ардонский</w:t>
            </w:r>
          </w:p>
        </w:tc>
        <w:tc>
          <w:tcPr>
            <w:tcW w:w="1865" w:type="dxa"/>
          </w:tcPr>
          <w:p w:rsidR="0031793D" w:rsidRPr="003E6AD1" w:rsidRDefault="00742F1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1865" w:type="dxa"/>
          </w:tcPr>
          <w:p w:rsidR="0031793D" w:rsidRPr="003E6AD1" w:rsidRDefault="00742F1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Дигорский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Ирафский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38,24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Моздокский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36,43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Правобережный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Пригородный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РСО-А (рег.</w:t>
            </w:r>
            <w:r w:rsidR="003E6AD1"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подчинение)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3E6AD1"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D1">
              <w:rPr>
                <w:rFonts w:ascii="Times New Roman" w:hAnsi="Times New Roman" w:cs="Times New Roman"/>
                <w:b/>
                <w:sz w:val="24"/>
                <w:szCs w:val="24"/>
              </w:rPr>
              <w:t>Владикавказ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31793D" w:rsidRPr="003E6AD1" w:rsidTr="0031793D">
        <w:tc>
          <w:tcPr>
            <w:tcW w:w="1980" w:type="dxa"/>
          </w:tcPr>
          <w:p w:rsidR="0031793D" w:rsidRPr="003E6AD1" w:rsidRDefault="0031793D" w:rsidP="00317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1793D" w:rsidRPr="003E6AD1" w:rsidRDefault="0031793D" w:rsidP="003179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3D" w:rsidRPr="003E6AD1" w:rsidRDefault="0031793D" w:rsidP="0031793D">
      <w:pPr>
        <w:spacing w:after="1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sz w:val="24"/>
          <w:szCs w:val="24"/>
        </w:rPr>
        <w:lastRenderedPageBreak/>
        <w:br/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Школам необходимо провести анализ типичных ошибок и затруднений, выявленных по результатам проведения ВПР 2021 года. Анализ проводится  каждым учителем по результатам ВПР конкретной образовательной организации, муниципальным и районным методическими объединениями в сравнении с результатами региона и результатами в РФ.</w:t>
      </w:r>
    </w:p>
    <w:p w:rsidR="0031793D" w:rsidRPr="003E6AD1" w:rsidRDefault="0031793D" w:rsidP="0031793D">
      <w:pPr>
        <w:spacing w:after="1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Нужно отметить, что </w:t>
      </w:r>
      <w:r w:rsidR="00742F1D"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опубликования приказа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ВПР у одиннадцатиклассников времени было мало</w:t>
      </w:r>
      <w:r w:rsidR="00742F1D"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93D" w:rsidRPr="003E6AD1" w:rsidRDefault="0031793D" w:rsidP="0031793D">
      <w:pPr>
        <w:spacing w:after="1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AD1">
        <w:rPr>
          <w:rFonts w:ascii="Times New Roman" w:hAnsi="Times New Roman" w:cs="Times New Roman"/>
          <w:sz w:val="24"/>
          <w:szCs w:val="24"/>
        </w:rPr>
        <w:t xml:space="preserve">При подготовке обучающихся к ВПР по физике необходимо познакомить обучающихся с содержанием ВПР-11, демонстрационной версией ВПР, заданиями прошлых лет ВПР по физике. Материалы  ВПР по физике за </w:t>
      </w:r>
      <w:r w:rsidR="00B6447E">
        <w:rPr>
          <w:rFonts w:ascii="Times New Roman" w:hAnsi="Times New Roman" w:cs="Times New Roman"/>
          <w:sz w:val="24"/>
          <w:szCs w:val="24"/>
        </w:rPr>
        <w:t xml:space="preserve"> </w:t>
      </w:r>
      <w:r w:rsidRPr="003E6AD1">
        <w:rPr>
          <w:rFonts w:ascii="Times New Roman" w:hAnsi="Times New Roman" w:cs="Times New Roman"/>
          <w:sz w:val="24"/>
          <w:szCs w:val="24"/>
        </w:rPr>
        <w:t xml:space="preserve">прошлые года и демоверсию можно найти на официальном сайте ВПР (СтатГрад) - </w:t>
      </w:r>
      <w:hyperlink r:id="rId5" w:history="1">
        <w:r w:rsidRPr="003E6AD1">
          <w:rPr>
            <w:rFonts w:ascii="Times New Roman" w:hAnsi="Times New Roman" w:cs="Times New Roman"/>
            <w:sz w:val="24"/>
            <w:szCs w:val="24"/>
            <w:u w:val="single"/>
          </w:rPr>
          <w:t>www.eduvpr.ru</w:t>
        </w:r>
      </w:hyperlink>
      <w:r w:rsidRPr="003E6AD1">
        <w:rPr>
          <w:rFonts w:ascii="Times New Roman" w:hAnsi="Times New Roman" w:cs="Times New Roman"/>
          <w:sz w:val="24"/>
          <w:szCs w:val="24"/>
        </w:rPr>
        <w:t>.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ВПР (СтатГрад) - www.eduvpr.ru – осуществляет информационное сопровождение всероссийских проверочных работ под </w:t>
      </w:r>
      <w:r w:rsidR="00B6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</w:t>
      </w:r>
      <w:r w:rsidR="00B6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Рособрнадзора. Здесь размещены демонстрационные задания с ответами и критериями оценивания, различная информация о ВПР: план графики, порядок проведения, официальные документы и др. Очень важно знакомить школьников с критериями оценивания их работ.</w:t>
      </w:r>
    </w:p>
    <w:p w:rsidR="0031793D" w:rsidRPr="003E6AD1" w:rsidRDefault="0031793D" w:rsidP="0031793D">
      <w:pPr>
        <w:spacing w:after="1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AD1">
        <w:rPr>
          <w:rFonts w:ascii="Times New Roman" w:hAnsi="Times New Roman" w:cs="Times New Roman"/>
          <w:sz w:val="24"/>
          <w:szCs w:val="24"/>
        </w:rPr>
        <w:t>При обучении решению задач учить обучающихся методам и приемам решения физических задач. Одним из наиболее эффективных методов подготовки школьников к решению задач является исследовательский подход к решению задач. Очень часто обучающиеся не могут решить задачу</w:t>
      </w:r>
      <w:r w:rsidR="00D77AC3">
        <w:rPr>
          <w:rFonts w:ascii="Times New Roman" w:hAnsi="Times New Roman" w:cs="Times New Roman"/>
          <w:sz w:val="24"/>
          <w:szCs w:val="24"/>
        </w:rPr>
        <w:t xml:space="preserve"> </w:t>
      </w:r>
      <w:r w:rsidRPr="003E6AD1">
        <w:rPr>
          <w:rFonts w:ascii="Times New Roman" w:hAnsi="Times New Roman" w:cs="Times New Roman"/>
          <w:sz w:val="24"/>
          <w:szCs w:val="24"/>
        </w:rPr>
        <w:t xml:space="preserve"> не</w:t>
      </w:r>
      <w:r w:rsidR="00D77AC3">
        <w:rPr>
          <w:rFonts w:ascii="Times New Roman" w:hAnsi="Times New Roman" w:cs="Times New Roman"/>
          <w:sz w:val="24"/>
          <w:szCs w:val="24"/>
        </w:rPr>
        <w:t xml:space="preserve"> </w:t>
      </w:r>
      <w:r w:rsidRPr="003E6AD1">
        <w:rPr>
          <w:rFonts w:ascii="Times New Roman" w:hAnsi="Times New Roman" w:cs="Times New Roman"/>
          <w:sz w:val="24"/>
          <w:szCs w:val="24"/>
        </w:rPr>
        <w:t xml:space="preserve"> потому что не знают законов физики, а потому, что не понимают условия задачи. Не понимают того, что написано в условии. Поэтому нужно учить обучающихся </w:t>
      </w:r>
      <w:r w:rsidR="00A77452">
        <w:rPr>
          <w:rFonts w:ascii="Times New Roman" w:hAnsi="Times New Roman" w:cs="Times New Roman"/>
          <w:sz w:val="24"/>
          <w:szCs w:val="24"/>
        </w:rPr>
        <w:t xml:space="preserve"> </w:t>
      </w:r>
      <w:r w:rsidRPr="003E6AD1">
        <w:rPr>
          <w:rFonts w:ascii="Times New Roman" w:hAnsi="Times New Roman" w:cs="Times New Roman"/>
          <w:sz w:val="24"/>
          <w:szCs w:val="24"/>
        </w:rPr>
        <w:t>внимательному прочтению условия задачи, анализу условия задачи. Лучшему пониманию текстов заданий по физике способствует обучение школьников пониманию текстов физического содержания. Для организации такой работы не обязательно использовать какую-то дополнительную литературу по физике, достаточно правильно о</w:t>
      </w:r>
      <w:r w:rsidR="003E6AD1" w:rsidRPr="003E6AD1">
        <w:rPr>
          <w:rFonts w:ascii="Times New Roman" w:hAnsi="Times New Roman" w:cs="Times New Roman"/>
          <w:sz w:val="24"/>
          <w:szCs w:val="24"/>
        </w:rPr>
        <w:t>рганизовать работу с учебником, Целесообразнее использовать технологию развития критического мышления и технологию ключевых ситуаций при исследовательском подходе к решению задач.</w:t>
      </w:r>
    </w:p>
    <w:p w:rsidR="00742F1D" w:rsidRPr="003E6AD1" w:rsidRDefault="00742F1D" w:rsidP="0031793D">
      <w:pPr>
        <w:spacing w:after="1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AD1">
        <w:rPr>
          <w:rFonts w:ascii="Times New Roman" w:hAnsi="Times New Roman" w:cs="Times New Roman"/>
          <w:sz w:val="24"/>
          <w:szCs w:val="24"/>
        </w:rPr>
        <w:t>Учесть нужно и то, что в 11 классе обучающиеся уже определились с выбором предметов для сдачи в форме ЕГЭ и больше внимания уделяют этим предметам.</w:t>
      </w:r>
    </w:p>
    <w:p w:rsidR="00742F1D" w:rsidRPr="003E6AD1" w:rsidRDefault="00742F1D" w:rsidP="0031793D">
      <w:pPr>
        <w:spacing w:after="1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C4" w:rsidRPr="003E6AD1" w:rsidRDefault="003E6AD1" w:rsidP="00317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AD1">
        <w:rPr>
          <w:rFonts w:ascii="Times New Roman" w:hAnsi="Times New Roman" w:cs="Times New Roman"/>
          <w:sz w:val="24"/>
          <w:szCs w:val="24"/>
        </w:rPr>
        <w:t>Ст. преподаватель кафедры ПЕМЦ СОРИПКРО               Дзеранова А.Л.</w:t>
      </w:r>
    </w:p>
    <w:p w:rsidR="003E6AD1" w:rsidRPr="003E6AD1" w:rsidRDefault="003E6A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6AD1" w:rsidRPr="003E6AD1" w:rsidSect="00A05C8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71"/>
    <w:rsid w:val="0012264F"/>
    <w:rsid w:val="00304B4D"/>
    <w:rsid w:val="0031793D"/>
    <w:rsid w:val="003940CB"/>
    <w:rsid w:val="003E6AD1"/>
    <w:rsid w:val="00742F1D"/>
    <w:rsid w:val="00776D89"/>
    <w:rsid w:val="00923CAA"/>
    <w:rsid w:val="00A05C88"/>
    <w:rsid w:val="00A26AC4"/>
    <w:rsid w:val="00A77452"/>
    <w:rsid w:val="00B6447E"/>
    <w:rsid w:val="00BB77BE"/>
    <w:rsid w:val="00D53A71"/>
    <w:rsid w:val="00D77AC3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9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04B4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9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v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2021-06-25T13:38:00Z</dcterms:created>
  <dcterms:modified xsi:type="dcterms:W3CDTF">2021-06-25T13:38:00Z</dcterms:modified>
</cp:coreProperties>
</file>